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4CFDE" w14:textId="77777777" w:rsidR="009426B3" w:rsidRPr="009426B3" w:rsidRDefault="009426B3" w:rsidP="009426B3">
      <w:pPr>
        <w:shd w:val="clear" w:color="auto" w:fill="FFFFFF"/>
        <w:rPr>
          <w:rFonts w:ascii="Verdana" w:eastAsia="Times New Roman" w:hAnsi="Verdana" w:cs="Times New Roman"/>
          <w:color w:val="333333"/>
          <w:sz w:val="18"/>
          <w:szCs w:val="18"/>
        </w:rPr>
      </w:pPr>
      <w:r w:rsidRPr="009426B3">
        <w:rPr>
          <w:rFonts w:ascii="Verdana" w:eastAsia="Times New Roman" w:hAnsi="Verdana" w:cs="Times New Roman"/>
          <w:b/>
          <w:bCs/>
          <w:color w:val="333333"/>
          <w:sz w:val="18"/>
          <w:szCs w:val="18"/>
        </w:rPr>
        <w:t>Problem 15-21 (Algorithmic)</w:t>
      </w:r>
    </w:p>
    <w:p w14:paraId="58C72940" w14:textId="77777777" w:rsidR="009426B3" w:rsidRPr="009426B3" w:rsidRDefault="009426B3" w:rsidP="009426B3">
      <w:pPr>
        <w:shd w:val="clear" w:color="auto" w:fill="FFFFFF"/>
        <w:rPr>
          <w:rFonts w:ascii="Verdana" w:eastAsia="Times New Roman" w:hAnsi="Verdana" w:cs="Times New Roman"/>
          <w:color w:val="333333"/>
          <w:sz w:val="18"/>
          <w:szCs w:val="18"/>
        </w:rPr>
      </w:pPr>
      <w:proofErr w:type="spellStart"/>
      <w:r w:rsidRPr="009426B3">
        <w:rPr>
          <w:rFonts w:ascii="Verdana" w:eastAsia="Times New Roman" w:hAnsi="Verdana" w:cs="Times New Roman"/>
          <w:color w:val="333333"/>
          <w:sz w:val="18"/>
          <w:szCs w:val="18"/>
        </w:rPr>
        <w:t>Agan</w:t>
      </w:r>
      <w:proofErr w:type="spellEnd"/>
      <w:r w:rsidRPr="009426B3">
        <w:rPr>
          <w:rFonts w:ascii="Verdana" w:eastAsia="Times New Roman" w:hAnsi="Verdana" w:cs="Times New Roman"/>
          <w:color w:val="333333"/>
          <w:sz w:val="18"/>
          <w:szCs w:val="18"/>
        </w:rPr>
        <w:t xml:space="preserve"> Interior Design provides home and office decorating assistance to its customers. In normal operation, an average of 3.2 customers arrive each hour. One design consultant is available to answer customer questions and make product recommendations. The consultant averages 12 minutes with each customer. </w:t>
      </w:r>
      <w:proofErr w:type="spellStart"/>
      <w:r w:rsidRPr="009426B3">
        <w:rPr>
          <w:rFonts w:ascii="Verdana" w:eastAsia="Times New Roman" w:hAnsi="Verdana" w:cs="Times New Roman"/>
          <w:color w:val="333333"/>
          <w:sz w:val="18"/>
          <w:szCs w:val="18"/>
        </w:rPr>
        <w:t>Agan’s</w:t>
      </w:r>
      <w:proofErr w:type="spellEnd"/>
      <w:r w:rsidRPr="009426B3">
        <w:rPr>
          <w:rFonts w:ascii="Verdana" w:eastAsia="Times New Roman" w:hAnsi="Verdana" w:cs="Times New Roman"/>
          <w:color w:val="333333"/>
          <w:sz w:val="18"/>
          <w:szCs w:val="18"/>
        </w:rPr>
        <w:t xml:space="preserve"> management would like to evaluate two alternatives:</w:t>
      </w:r>
    </w:p>
    <w:p w14:paraId="6B865F87" w14:textId="77777777" w:rsidR="009426B3" w:rsidRPr="009426B3" w:rsidRDefault="009426B3" w:rsidP="009426B3">
      <w:pPr>
        <w:numPr>
          <w:ilvl w:val="0"/>
          <w:numId w:val="2"/>
        </w:numPr>
        <w:shd w:val="clear" w:color="auto" w:fill="FFFFFF"/>
        <w:spacing w:line="270" w:lineRule="atLeast"/>
        <w:ind w:left="0"/>
        <w:rPr>
          <w:rFonts w:ascii="Verdana" w:eastAsia="Times New Roman" w:hAnsi="Verdana" w:cs="Times New Roman"/>
          <w:color w:val="000000"/>
          <w:sz w:val="18"/>
          <w:szCs w:val="18"/>
        </w:rPr>
      </w:pPr>
      <w:r w:rsidRPr="009426B3">
        <w:rPr>
          <w:rFonts w:ascii="Verdana" w:eastAsia="Times New Roman" w:hAnsi="Verdana" w:cs="Times New Roman"/>
          <w:color w:val="000000"/>
          <w:sz w:val="18"/>
          <w:szCs w:val="18"/>
        </w:rPr>
        <w:t>Use one consultant with an average service time of 12 minutes per customer.</w:t>
      </w:r>
    </w:p>
    <w:p w14:paraId="1D0BB1BC" w14:textId="77777777" w:rsidR="009426B3" w:rsidRPr="009426B3" w:rsidRDefault="009426B3" w:rsidP="009426B3">
      <w:pPr>
        <w:numPr>
          <w:ilvl w:val="0"/>
          <w:numId w:val="2"/>
        </w:numPr>
        <w:shd w:val="clear" w:color="auto" w:fill="FFFFFF"/>
        <w:spacing w:line="270" w:lineRule="atLeast"/>
        <w:ind w:left="0"/>
        <w:rPr>
          <w:rFonts w:ascii="Verdana" w:eastAsia="Times New Roman" w:hAnsi="Verdana" w:cs="Times New Roman"/>
          <w:color w:val="000000"/>
          <w:sz w:val="18"/>
          <w:szCs w:val="18"/>
        </w:rPr>
      </w:pPr>
      <w:r w:rsidRPr="009426B3">
        <w:rPr>
          <w:rFonts w:ascii="Verdana" w:eastAsia="Times New Roman" w:hAnsi="Verdana" w:cs="Times New Roman"/>
          <w:color w:val="000000"/>
          <w:sz w:val="18"/>
          <w:szCs w:val="18"/>
        </w:rPr>
        <w:t>Expand to two consultants, each of whom has an average service time of 16 minutes per customer.</w:t>
      </w:r>
    </w:p>
    <w:p w14:paraId="67D04B2B" w14:textId="64AE3E27" w:rsidR="009426B3" w:rsidRDefault="009426B3" w:rsidP="009426B3"/>
    <w:p w14:paraId="7B45698C" w14:textId="77777777" w:rsidR="009426B3" w:rsidRPr="009426B3" w:rsidRDefault="009426B3" w:rsidP="009426B3">
      <w:pPr>
        <w:rPr>
          <w:rFonts w:ascii="Times New Roman" w:eastAsia="Times New Roman" w:hAnsi="Times New Roman" w:cs="Times New Roman"/>
        </w:rPr>
      </w:pPr>
      <w:r w:rsidRPr="009426B3">
        <w:rPr>
          <w:rFonts w:ascii="Verdana" w:eastAsia="Times New Roman" w:hAnsi="Verdana" w:cs="Times New Roman"/>
          <w:color w:val="333333"/>
          <w:sz w:val="18"/>
          <w:szCs w:val="18"/>
          <w:shd w:val="clear" w:color="auto" w:fill="FFFFFF"/>
        </w:rPr>
        <w:t xml:space="preserve">If the consultants are paid $16 per hour and the customer waiting time is valued at $28 per hour for waiting time prior to service, should </w:t>
      </w:r>
      <w:proofErr w:type="spellStart"/>
      <w:r w:rsidRPr="009426B3">
        <w:rPr>
          <w:rFonts w:ascii="Verdana" w:eastAsia="Times New Roman" w:hAnsi="Verdana" w:cs="Times New Roman"/>
          <w:color w:val="333333"/>
          <w:sz w:val="18"/>
          <w:szCs w:val="18"/>
          <w:shd w:val="clear" w:color="auto" w:fill="FFFFFF"/>
        </w:rPr>
        <w:t>Agan</w:t>
      </w:r>
      <w:proofErr w:type="spellEnd"/>
      <w:r w:rsidRPr="009426B3">
        <w:rPr>
          <w:rFonts w:ascii="Verdana" w:eastAsia="Times New Roman" w:hAnsi="Verdana" w:cs="Times New Roman"/>
          <w:color w:val="333333"/>
          <w:sz w:val="18"/>
          <w:szCs w:val="18"/>
          <w:shd w:val="clear" w:color="auto" w:fill="FFFFFF"/>
        </w:rPr>
        <w:t xml:space="preserve"> expand to the two-consultant system</w:t>
      </w:r>
    </w:p>
    <w:p w14:paraId="0B935B9A" w14:textId="30EF11D4" w:rsidR="009426B3" w:rsidRDefault="009426B3" w:rsidP="009426B3"/>
    <w:p w14:paraId="5FB3C34E" w14:textId="67417887" w:rsidR="009426B3" w:rsidRPr="009426B3" w:rsidRDefault="009426B3" w:rsidP="009426B3">
      <w:pPr>
        <w:rPr>
          <w:rFonts w:ascii="Times New Roman" w:eastAsia="Times New Roman" w:hAnsi="Times New Roman" w:cs="Times New Roman"/>
        </w:rPr>
      </w:pPr>
      <w:r w:rsidRPr="009426B3">
        <w:rPr>
          <w:rFonts w:ascii="Verdana" w:eastAsia="Times New Roman" w:hAnsi="Verdana" w:cs="Times New Roman"/>
          <w:color w:val="333333"/>
          <w:sz w:val="18"/>
          <w:szCs w:val="18"/>
          <w:shd w:val="clear" w:color="auto" w:fill="FFFFFF"/>
        </w:rPr>
        <w:t xml:space="preserve">The total cost for the first scenario where </w:t>
      </w:r>
      <w:proofErr w:type="spellStart"/>
      <w:r w:rsidRPr="009426B3">
        <w:rPr>
          <w:rFonts w:ascii="Verdana" w:eastAsia="Times New Roman" w:hAnsi="Verdana" w:cs="Times New Roman"/>
          <w:color w:val="333333"/>
          <w:sz w:val="18"/>
          <w:szCs w:val="18"/>
          <w:shd w:val="clear" w:color="auto" w:fill="FFFFFF"/>
        </w:rPr>
        <w:t>thre</w:t>
      </w:r>
      <w:proofErr w:type="spellEnd"/>
      <w:r w:rsidRPr="009426B3">
        <w:rPr>
          <w:rFonts w:ascii="Verdana" w:eastAsia="Times New Roman" w:hAnsi="Verdana" w:cs="Times New Roman"/>
          <w:color w:val="333333"/>
          <w:sz w:val="18"/>
          <w:szCs w:val="18"/>
          <w:shd w:val="clear" w:color="auto" w:fill="FFFFFF"/>
        </w:rPr>
        <w:t xml:space="preserve"> is one consultant with an average service time of 12 minutes per customer is </w:t>
      </w:r>
      <w:proofErr w:type="gramStart"/>
      <w:r w:rsidRPr="009426B3">
        <w:rPr>
          <w:rFonts w:ascii="Verdana" w:eastAsia="Times New Roman" w:hAnsi="Verdana" w:cs="Times New Roman"/>
          <w:color w:val="333333"/>
          <w:sz w:val="18"/>
          <w:szCs w:val="18"/>
          <w:highlight w:val="yellow"/>
          <w:shd w:val="clear" w:color="auto" w:fill="FFFFFF"/>
        </w:rPr>
        <w:t>$ </w:t>
      </w:r>
      <w:r w:rsidRPr="009426B3">
        <w:rPr>
          <w:rFonts w:ascii="Verdana" w:eastAsia="Times New Roman" w:hAnsi="Verdana" w:cs="Times New Roman"/>
          <w:color w:val="333333"/>
          <w:sz w:val="18"/>
          <w:szCs w:val="18"/>
          <w:highlight w:val="yellow"/>
          <w:shd w:val="clear" w:color="auto" w:fill="FFFFFF"/>
        </w:rPr>
        <w:t>?</w:t>
      </w:r>
      <w:proofErr w:type="gramEnd"/>
    </w:p>
    <w:p w14:paraId="44B83F47" w14:textId="55B9C801" w:rsidR="009426B3" w:rsidRDefault="009426B3" w:rsidP="009426B3"/>
    <w:p w14:paraId="6E8B5C69" w14:textId="77777777" w:rsidR="009426B3" w:rsidRPr="009426B3" w:rsidRDefault="009426B3" w:rsidP="009426B3">
      <w:pPr>
        <w:rPr>
          <w:rFonts w:ascii="Times New Roman" w:eastAsia="Times New Roman" w:hAnsi="Times New Roman" w:cs="Times New Roman"/>
        </w:rPr>
      </w:pPr>
      <w:r w:rsidRPr="009426B3">
        <w:rPr>
          <w:rFonts w:ascii="Verdana" w:eastAsia="Times New Roman" w:hAnsi="Verdana" w:cs="Times New Roman"/>
          <w:color w:val="333333"/>
          <w:sz w:val="18"/>
          <w:szCs w:val="18"/>
          <w:shd w:val="clear" w:color="auto" w:fill="FFFFFF"/>
        </w:rPr>
        <w:t xml:space="preserve">The total cost for the second scenario where </w:t>
      </w:r>
      <w:proofErr w:type="spellStart"/>
      <w:r w:rsidRPr="009426B3">
        <w:rPr>
          <w:rFonts w:ascii="Verdana" w:eastAsia="Times New Roman" w:hAnsi="Verdana" w:cs="Times New Roman"/>
          <w:color w:val="333333"/>
          <w:sz w:val="18"/>
          <w:szCs w:val="18"/>
          <w:shd w:val="clear" w:color="auto" w:fill="FFFFFF"/>
        </w:rPr>
        <w:t>thre</w:t>
      </w:r>
      <w:proofErr w:type="spellEnd"/>
      <w:r w:rsidRPr="009426B3">
        <w:rPr>
          <w:rFonts w:ascii="Verdana" w:eastAsia="Times New Roman" w:hAnsi="Verdana" w:cs="Times New Roman"/>
          <w:color w:val="333333"/>
          <w:sz w:val="18"/>
          <w:szCs w:val="18"/>
          <w:shd w:val="clear" w:color="auto" w:fill="FFFFFF"/>
        </w:rPr>
        <w:t xml:space="preserve"> are two consultants with an average service time of 16 minutes per customer is </w:t>
      </w:r>
      <w:proofErr w:type="gramStart"/>
      <w:r w:rsidRPr="009426B3">
        <w:rPr>
          <w:rFonts w:ascii="Verdana" w:eastAsia="Times New Roman" w:hAnsi="Verdana" w:cs="Times New Roman"/>
          <w:color w:val="333333"/>
          <w:sz w:val="18"/>
          <w:szCs w:val="18"/>
          <w:highlight w:val="yellow"/>
          <w:shd w:val="clear" w:color="auto" w:fill="FFFFFF"/>
        </w:rPr>
        <w:t>$  .</w:t>
      </w:r>
      <w:proofErr w:type="gramEnd"/>
    </w:p>
    <w:p w14:paraId="533ABCF5" w14:textId="0F6FE0BE" w:rsidR="009426B3" w:rsidRDefault="009426B3" w:rsidP="009426B3"/>
    <w:p w14:paraId="520D956A" w14:textId="73651A08" w:rsidR="009426B3" w:rsidRDefault="009426B3" w:rsidP="009426B3"/>
    <w:p w14:paraId="08A4A8B5" w14:textId="2FE8EEB6" w:rsidR="009426B3" w:rsidRDefault="009426B3" w:rsidP="009426B3"/>
    <w:p w14:paraId="54BB5A17" w14:textId="77777777" w:rsidR="009426B3" w:rsidRPr="009426B3" w:rsidRDefault="009426B3" w:rsidP="009426B3">
      <w:pPr>
        <w:shd w:val="clear" w:color="auto" w:fill="FFFFFF"/>
        <w:rPr>
          <w:rFonts w:ascii="Verdana" w:eastAsia="Times New Roman" w:hAnsi="Verdana" w:cs="Times New Roman"/>
          <w:color w:val="333333"/>
          <w:sz w:val="18"/>
          <w:szCs w:val="18"/>
        </w:rPr>
      </w:pPr>
      <w:r w:rsidRPr="009426B3">
        <w:rPr>
          <w:rFonts w:ascii="Verdana" w:eastAsia="Times New Roman" w:hAnsi="Verdana" w:cs="Times New Roman"/>
          <w:b/>
          <w:bCs/>
          <w:color w:val="333333"/>
          <w:sz w:val="18"/>
          <w:szCs w:val="18"/>
        </w:rPr>
        <w:t>Problem 6-07 (Algorithmic)</w:t>
      </w:r>
    </w:p>
    <w:p w14:paraId="327C125A" w14:textId="77777777" w:rsidR="009426B3" w:rsidRPr="009426B3" w:rsidRDefault="009426B3" w:rsidP="009426B3">
      <w:pPr>
        <w:shd w:val="clear" w:color="auto" w:fill="FFFFFF"/>
        <w:rPr>
          <w:rFonts w:ascii="Verdana" w:eastAsia="Times New Roman" w:hAnsi="Verdana" w:cs="Times New Roman"/>
          <w:color w:val="333333"/>
          <w:sz w:val="18"/>
          <w:szCs w:val="18"/>
        </w:rPr>
      </w:pPr>
      <w:r w:rsidRPr="009426B3">
        <w:rPr>
          <w:rFonts w:ascii="Verdana" w:eastAsia="Times New Roman" w:hAnsi="Verdana" w:cs="Times New Roman"/>
          <w:color w:val="333333"/>
          <w:sz w:val="18"/>
          <w:szCs w:val="18"/>
        </w:rPr>
        <w:t>Refer to the gasoline sales time series data in the given table.</w:t>
      </w:r>
    </w:p>
    <w:tbl>
      <w:tblPr>
        <w:tblW w:w="450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40" w:type="dxa"/>
          <w:left w:w="40" w:type="dxa"/>
          <w:bottom w:w="40" w:type="dxa"/>
          <w:right w:w="40" w:type="dxa"/>
        </w:tblCellMar>
        <w:tblLook w:val="04A0" w:firstRow="1" w:lastRow="0" w:firstColumn="1" w:lastColumn="0" w:noHBand="0" w:noVBand="1"/>
      </w:tblPr>
      <w:tblGrid>
        <w:gridCol w:w="2250"/>
        <w:gridCol w:w="2250"/>
      </w:tblGrid>
      <w:tr w:rsidR="009426B3" w:rsidRPr="009426B3" w14:paraId="03968920" w14:textId="77777777" w:rsidTr="009426B3">
        <w:trPr>
          <w:tblCellSpacing w:w="0" w:type="dxa"/>
        </w:trPr>
        <w:tc>
          <w:tcPr>
            <w:tcW w:w="1250" w:type="pct"/>
            <w:tcBorders>
              <w:top w:val="outset" w:sz="6" w:space="0" w:color="auto"/>
              <w:left w:val="outset" w:sz="6" w:space="0" w:color="auto"/>
              <w:bottom w:val="single" w:sz="8" w:space="0" w:color="auto"/>
              <w:right w:val="outset" w:sz="6" w:space="0" w:color="auto"/>
            </w:tcBorders>
            <w:shd w:val="clear" w:color="auto" w:fill="FFFFFF"/>
            <w:vAlign w:val="center"/>
            <w:hideMark/>
          </w:tcPr>
          <w:p w14:paraId="5CD8D30C"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b/>
                <w:bCs/>
                <w:color w:val="000000"/>
                <w:sz w:val="18"/>
                <w:szCs w:val="18"/>
              </w:rPr>
              <w:t>Week</w:t>
            </w:r>
          </w:p>
        </w:tc>
        <w:tc>
          <w:tcPr>
            <w:tcW w:w="1250" w:type="pct"/>
            <w:tcBorders>
              <w:top w:val="outset" w:sz="6" w:space="0" w:color="auto"/>
              <w:left w:val="outset" w:sz="6" w:space="0" w:color="auto"/>
              <w:bottom w:val="single" w:sz="8" w:space="0" w:color="auto"/>
              <w:right w:val="outset" w:sz="6" w:space="0" w:color="auto"/>
            </w:tcBorders>
            <w:shd w:val="clear" w:color="auto" w:fill="FFFFFF"/>
            <w:vAlign w:val="center"/>
            <w:hideMark/>
          </w:tcPr>
          <w:p w14:paraId="052550B9"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b/>
                <w:bCs/>
                <w:color w:val="000000"/>
                <w:sz w:val="18"/>
                <w:szCs w:val="18"/>
              </w:rPr>
              <w:t>Sales (1000s of gallons)</w:t>
            </w:r>
          </w:p>
        </w:tc>
      </w:tr>
      <w:tr w:rsidR="009426B3" w:rsidRPr="009426B3" w14:paraId="153F64AE"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1741C7"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434F21"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18</w:t>
            </w:r>
          </w:p>
        </w:tc>
      </w:tr>
      <w:tr w:rsidR="009426B3" w:rsidRPr="009426B3" w14:paraId="5532FEF9"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C0629D3"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37F497C"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20</w:t>
            </w:r>
          </w:p>
        </w:tc>
      </w:tr>
      <w:tr w:rsidR="009426B3" w:rsidRPr="009426B3" w14:paraId="5EECB50B"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6C8A00"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F6D8EB"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19</w:t>
            </w:r>
          </w:p>
        </w:tc>
      </w:tr>
      <w:tr w:rsidR="009426B3" w:rsidRPr="009426B3" w14:paraId="24E36046"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EA42A2"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0B204F"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23</w:t>
            </w:r>
          </w:p>
        </w:tc>
      </w:tr>
      <w:tr w:rsidR="009426B3" w:rsidRPr="009426B3" w14:paraId="2227D2C5"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F134B9"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806822"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18</w:t>
            </w:r>
          </w:p>
        </w:tc>
      </w:tr>
      <w:tr w:rsidR="009426B3" w:rsidRPr="009426B3" w14:paraId="0693E925"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CCD910D"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42967C"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15</w:t>
            </w:r>
          </w:p>
        </w:tc>
      </w:tr>
      <w:tr w:rsidR="009426B3" w:rsidRPr="009426B3" w14:paraId="465389F8"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63D89A"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797392"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20</w:t>
            </w:r>
          </w:p>
        </w:tc>
      </w:tr>
      <w:tr w:rsidR="009426B3" w:rsidRPr="009426B3" w14:paraId="6FEB62E4"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E0D872"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5DC4FBB"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19</w:t>
            </w:r>
          </w:p>
        </w:tc>
      </w:tr>
      <w:tr w:rsidR="009426B3" w:rsidRPr="009426B3" w14:paraId="162A77C6"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3DBA3E"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1EA847"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23</w:t>
            </w:r>
          </w:p>
        </w:tc>
      </w:tr>
      <w:tr w:rsidR="009426B3" w:rsidRPr="009426B3" w14:paraId="57C87240"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41A172"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DB8D4C"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20</w:t>
            </w:r>
          </w:p>
        </w:tc>
      </w:tr>
      <w:tr w:rsidR="009426B3" w:rsidRPr="009426B3" w14:paraId="75B8D87D"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D3F2B1"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124A4A"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14</w:t>
            </w:r>
          </w:p>
        </w:tc>
      </w:tr>
      <w:tr w:rsidR="009426B3" w:rsidRPr="009426B3" w14:paraId="5FDBE0B2"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562AEC"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B96EC9" w14:textId="77777777" w:rsidR="009426B3" w:rsidRPr="009426B3" w:rsidRDefault="009426B3" w:rsidP="009426B3">
            <w:pPr>
              <w:jc w:val="center"/>
              <w:rPr>
                <w:rFonts w:ascii="Verdana" w:eastAsia="Times New Roman" w:hAnsi="Verdana" w:cs="Tahoma"/>
                <w:color w:val="000000"/>
                <w:sz w:val="18"/>
                <w:szCs w:val="18"/>
              </w:rPr>
            </w:pPr>
            <w:r w:rsidRPr="009426B3">
              <w:rPr>
                <w:rFonts w:ascii="Verdana" w:eastAsia="Times New Roman" w:hAnsi="Verdana" w:cs="Tahoma"/>
                <w:color w:val="000000"/>
                <w:sz w:val="18"/>
                <w:szCs w:val="18"/>
              </w:rPr>
              <w:t>22</w:t>
            </w:r>
          </w:p>
        </w:tc>
      </w:tr>
    </w:tbl>
    <w:p w14:paraId="1147F80A" w14:textId="77777777" w:rsidR="009426B3" w:rsidRPr="009426B3" w:rsidRDefault="009426B3" w:rsidP="009426B3">
      <w:pPr>
        <w:numPr>
          <w:ilvl w:val="0"/>
          <w:numId w:val="3"/>
        </w:numPr>
        <w:shd w:val="clear" w:color="auto" w:fill="FFFFFF"/>
        <w:spacing w:after="240" w:line="270" w:lineRule="atLeast"/>
        <w:ind w:left="0"/>
        <w:rPr>
          <w:rFonts w:ascii="Verdana" w:eastAsia="Times New Roman" w:hAnsi="Verdana" w:cs="Times New Roman"/>
          <w:color w:val="000000"/>
          <w:sz w:val="18"/>
          <w:szCs w:val="18"/>
        </w:rPr>
      </w:pPr>
      <w:r w:rsidRPr="009426B3">
        <w:rPr>
          <w:rFonts w:ascii="Verdana" w:eastAsia="Times New Roman" w:hAnsi="Verdana" w:cs="Times New Roman"/>
          <w:color w:val="000000"/>
          <w:sz w:val="18"/>
          <w:szCs w:val="18"/>
        </w:rPr>
        <w:t>Compute four-week and five-week moving averages for the time series. If required, round your answers to two decimal places.</w:t>
      </w:r>
    </w:p>
    <w:tbl>
      <w:tblPr>
        <w:tblW w:w="6000" w:type="dxa"/>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1200"/>
        <w:gridCol w:w="1200"/>
        <w:gridCol w:w="1800"/>
        <w:gridCol w:w="1800"/>
      </w:tblGrid>
      <w:tr w:rsidR="009426B3" w:rsidRPr="009426B3" w14:paraId="445A3E8A" w14:textId="77777777" w:rsidTr="009426B3">
        <w:trPr>
          <w:tblCellSpacing w:w="0" w:type="dxa"/>
        </w:trPr>
        <w:tc>
          <w:tcPr>
            <w:tcW w:w="1000" w:type="pct"/>
            <w:tcBorders>
              <w:top w:val="outset" w:sz="6" w:space="0" w:color="auto"/>
              <w:left w:val="outset" w:sz="6" w:space="0" w:color="auto"/>
              <w:bottom w:val="outset" w:sz="6" w:space="0" w:color="auto"/>
              <w:right w:val="outset" w:sz="6" w:space="0" w:color="auto"/>
            </w:tcBorders>
            <w:vAlign w:val="center"/>
            <w:hideMark/>
          </w:tcPr>
          <w:p w14:paraId="11035647"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br/>
            </w:r>
            <w:r w:rsidRPr="009426B3">
              <w:rPr>
                <w:rFonts w:ascii="Verdana" w:eastAsia="Times New Roman" w:hAnsi="Verdana" w:cs="Tahoma"/>
                <w:b/>
                <w:bCs/>
                <w:sz w:val="18"/>
                <w:szCs w:val="18"/>
              </w:rPr>
              <w:t>Week</w:t>
            </w:r>
          </w:p>
        </w:tc>
        <w:tc>
          <w:tcPr>
            <w:tcW w:w="1000" w:type="pct"/>
            <w:tcBorders>
              <w:top w:val="outset" w:sz="6" w:space="0" w:color="auto"/>
              <w:left w:val="outset" w:sz="6" w:space="0" w:color="auto"/>
              <w:bottom w:val="outset" w:sz="6" w:space="0" w:color="auto"/>
              <w:right w:val="outset" w:sz="6" w:space="0" w:color="auto"/>
            </w:tcBorders>
            <w:vAlign w:val="center"/>
            <w:hideMark/>
          </w:tcPr>
          <w:p w14:paraId="48118F93"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br/>
            </w:r>
            <w:r w:rsidRPr="009426B3">
              <w:rPr>
                <w:rFonts w:ascii="Verdana" w:eastAsia="Times New Roman" w:hAnsi="Verdana" w:cs="Tahoma"/>
                <w:b/>
                <w:bCs/>
                <w:sz w:val="18"/>
                <w:szCs w:val="18"/>
              </w:rPr>
              <w:t>Sales</w:t>
            </w:r>
          </w:p>
        </w:tc>
        <w:tc>
          <w:tcPr>
            <w:tcW w:w="1500" w:type="pct"/>
            <w:tcBorders>
              <w:top w:val="outset" w:sz="6" w:space="0" w:color="auto"/>
              <w:left w:val="outset" w:sz="6" w:space="0" w:color="auto"/>
              <w:bottom w:val="outset" w:sz="6" w:space="0" w:color="auto"/>
              <w:right w:val="outset" w:sz="6" w:space="0" w:color="auto"/>
            </w:tcBorders>
            <w:vAlign w:val="center"/>
            <w:hideMark/>
          </w:tcPr>
          <w:p w14:paraId="64BDD391"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b/>
                <w:bCs/>
                <w:sz w:val="18"/>
                <w:szCs w:val="18"/>
              </w:rPr>
              <w:t>4 Period</w:t>
            </w:r>
            <w:r w:rsidRPr="009426B3">
              <w:rPr>
                <w:rFonts w:ascii="Verdana" w:eastAsia="Times New Roman" w:hAnsi="Verdana" w:cs="Tahoma"/>
                <w:b/>
                <w:bCs/>
                <w:sz w:val="18"/>
                <w:szCs w:val="18"/>
              </w:rPr>
              <w:br/>
              <w:t>Moving Average</w:t>
            </w:r>
          </w:p>
        </w:tc>
        <w:tc>
          <w:tcPr>
            <w:tcW w:w="1500" w:type="pct"/>
            <w:tcBorders>
              <w:top w:val="outset" w:sz="6" w:space="0" w:color="auto"/>
              <w:left w:val="outset" w:sz="6" w:space="0" w:color="auto"/>
              <w:bottom w:val="outset" w:sz="6" w:space="0" w:color="auto"/>
              <w:right w:val="outset" w:sz="6" w:space="0" w:color="auto"/>
            </w:tcBorders>
            <w:vAlign w:val="center"/>
            <w:hideMark/>
          </w:tcPr>
          <w:p w14:paraId="616A415C"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b/>
                <w:bCs/>
                <w:sz w:val="18"/>
                <w:szCs w:val="18"/>
              </w:rPr>
              <w:t>5 Period</w:t>
            </w:r>
            <w:r w:rsidRPr="009426B3">
              <w:rPr>
                <w:rFonts w:ascii="Verdana" w:eastAsia="Times New Roman" w:hAnsi="Verdana" w:cs="Tahoma"/>
                <w:b/>
                <w:bCs/>
                <w:sz w:val="18"/>
                <w:szCs w:val="18"/>
              </w:rPr>
              <w:br/>
              <w:t>Moving Average</w:t>
            </w:r>
          </w:p>
        </w:tc>
      </w:tr>
      <w:tr w:rsidR="009426B3" w:rsidRPr="009426B3" w14:paraId="1B778422"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1DFEFC"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BF4FE"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D82A03E" w14:textId="77777777" w:rsidR="009426B3" w:rsidRPr="009426B3" w:rsidRDefault="009426B3" w:rsidP="009426B3">
            <w:pPr>
              <w:jc w:val="center"/>
              <w:rPr>
                <w:rFonts w:ascii="Verdana" w:eastAsia="Times New Roman" w:hAnsi="Verdana" w:cs="Tahoma"/>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4A60FD" w14:textId="77777777" w:rsidR="009426B3" w:rsidRPr="009426B3" w:rsidRDefault="009426B3" w:rsidP="009426B3">
            <w:pPr>
              <w:jc w:val="center"/>
              <w:rPr>
                <w:rFonts w:ascii="Times New Roman" w:eastAsia="Times New Roman" w:hAnsi="Times New Roman" w:cs="Times New Roman"/>
                <w:sz w:val="20"/>
                <w:szCs w:val="20"/>
              </w:rPr>
            </w:pPr>
          </w:p>
        </w:tc>
      </w:tr>
      <w:tr w:rsidR="009426B3" w:rsidRPr="009426B3" w14:paraId="5B4D433C"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14C4FF"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650C3"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538C8" w14:textId="77777777" w:rsidR="009426B3" w:rsidRPr="009426B3" w:rsidRDefault="009426B3" w:rsidP="009426B3">
            <w:pPr>
              <w:jc w:val="center"/>
              <w:rPr>
                <w:rFonts w:ascii="Verdana" w:eastAsia="Times New Roman" w:hAnsi="Verdana" w:cs="Tahoma"/>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C038BC" w14:textId="77777777" w:rsidR="009426B3" w:rsidRPr="009426B3" w:rsidRDefault="009426B3" w:rsidP="009426B3">
            <w:pPr>
              <w:jc w:val="center"/>
              <w:rPr>
                <w:rFonts w:ascii="Times New Roman" w:eastAsia="Times New Roman" w:hAnsi="Times New Roman" w:cs="Times New Roman"/>
                <w:sz w:val="20"/>
                <w:szCs w:val="20"/>
              </w:rPr>
            </w:pPr>
          </w:p>
        </w:tc>
      </w:tr>
      <w:tr w:rsidR="009426B3" w:rsidRPr="009426B3" w14:paraId="0C7FFC00"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1944D1"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1CE9B"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FF17E" w14:textId="77777777" w:rsidR="009426B3" w:rsidRPr="009426B3" w:rsidRDefault="009426B3" w:rsidP="009426B3">
            <w:pPr>
              <w:jc w:val="center"/>
              <w:rPr>
                <w:rFonts w:ascii="Verdana" w:eastAsia="Times New Roman" w:hAnsi="Verdana" w:cs="Tahoma"/>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DB038CE" w14:textId="77777777" w:rsidR="009426B3" w:rsidRPr="009426B3" w:rsidRDefault="009426B3" w:rsidP="009426B3">
            <w:pPr>
              <w:jc w:val="center"/>
              <w:rPr>
                <w:rFonts w:ascii="Times New Roman" w:eastAsia="Times New Roman" w:hAnsi="Times New Roman" w:cs="Times New Roman"/>
                <w:sz w:val="20"/>
                <w:szCs w:val="20"/>
              </w:rPr>
            </w:pPr>
          </w:p>
        </w:tc>
      </w:tr>
      <w:tr w:rsidR="009426B3" w:rsidRPr="009426B3" w14:paraId="30804F10"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F33237"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A33E3"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E053F03" w14:textId="77777777" w:rsidR="009426B3" w:rsidRPr="009426B3" w:rsidRDefault="009426B3" w:rsidP="009426B3">
            <w:pPr>
              <w:jc w:val="center"/>
              <w:rPr>
                <w:rFonts w:ascii="Verdana" w:eastAsia="Times New Roman" w:hAnsi="Verdana" w:cs="Tahoma"/>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4F5518" w14:textId="77777777" w:rsidR="009426B3" w:rsidRPr="009426B3" w:rsidRDefault="009426B3" w:rsidP="009426B3">
            <w:pPr>
              <w:jc w:val="center"/>
              <w:rPr>
                <w:rFonts w:ascii="Times New Roman" w:eastAsia="Times New Roman" w:hAnsi="Times New Roman" w:cs="Times New Roman"/>
                <w:sz w:val="20"/>
                <w:szCs w:val="20"/>
              </w:rPr>
            </w:pPr>
          </w:p>
        </w:tc>
      </w:tr>
      <w:tr w:rsidR="009426B3" w:rsidRPr="009426B3" w14:paraId="23C0A602"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65EE61"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6E9B5"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6F0C93A" w14:textId="77777777" w:rsidR="009426B3" w:rsidRPr="009426B3" w:rsidRDefault="009426B3" w:rsidP="009426B3">
            <w:pPr>
              <w:jc w:val="center"/>
              <w:rPr>
                <w:rFonts w:ascii="Verdana" w:eastAsia="Times New Roman" w:hAnsi="Verdana" w:cs="Tahoma"/>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64954D" w14:textId="77777777" w:rsidR="009426B3" w:rsidRPr="009426B3" w:rsidRDefault="009426B3" w:rsidP="009426B3">
            <w:pPr>
              <w:jc w:val="center"/>
              <w:rPr>
                <w:rFonts w:ascii="Times New Roman" w:eastAsia="Times New Roman" w:hAnsi="Times New Roman" w:cs="Times New Roman"/>
                <w:sz w:val="20"/>
                <w:szCs w:val="20"/>
              </w:rPr>
            </w:pPr>
          </w:p>
        </w:tc>
      </w:tr>
      <w:tr w:rsidR="009426B3" w:rsidRPr="009426B3" w14:paraId="43B71FDC"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AD5818"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lastRenderedPageBreak/>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9617F"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DF145" w14:textId="71425C9F" w:rsidR="009426B3" w:rsidRPr="009426B3" w:rsidRDefault="009426B3" w:rsidP="009426B3">
            <w:pPr>
              <w:jc w:val="center"/>
              <w:rPr>
                <w:rFonts w:ascii="Verdana" w:eastAsia="Times New Roman" w:hAnsi="Verdana" w:cs="Tahoma"/>
                <w:sz w:val="18"/>
                <w:szCs w:val="18"/>
              </w:rPr>
            </w:pPr>
            <w:r>
              <w:rPr>
                <w:rFonts w:ascii="Verdana" w:eastAsia="Times New Roman" w:hAnsi="Verdana" w:cs="Tahoma"/>
                <w:sz w:val="18"/>
                <w:szCs w:val="18"/>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DBD61" w14:textId="21766BC0" w:rsidR="009426B3" w:rsidRPr="009426B3" w:rsidRDefault="009426B3" w:rsidP="009426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19.6</w:t>
            </w:r>
          </w:p>
        </w:tc>
      </w:tr>
      <w:tr w:rsidR="009426B3" w:rsidRPr="009426B3" w14:paraId="6DBDD2E5"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4E0ACB"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4400FFB6"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ECD85" w14:textId="79DFE708" w:rsidR="009426B3" w:rsidRPr="009426B3" w:rsidRDefault="009426B3" w:rsidP="009426B3">
            <w:pPr>
              <w:jc w:val="center"/>
              <w:rPr>
                <w:rFonts w:ascii="Verdana" w:eastAsia="Times New Roman" w:hAnsi="Verdana" w:cs="Tahoma"/>
                <w:sz w:val="18"/>
                <w:szCs w:val="18"/>
              </w:rPr>
            </w:pPr>
            <w:r>
              <w:rPr>
                <w:rFonts w:ascii="Verdana" w:eastAsia="Times New Roman" w:hAnsi="Verdana" w:cs="Tahoma"/>
                <w:sz w:val="18"/>
                <w:szCs w:val="18"/>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F5071" w14:textId="2D6DE8B2" w:rsidR="009426B3" w:rsidRPr="009426B3" w:rsidRDefault="009426B3" w:rsidP="009426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9426B3" w:rsidRPr="009426B3" w14:paraId="1706A7B8"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507ED9"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F14C8"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D4793" w14:textId="613A1478" w:rsidR="009426B3" w:rsidRPr="009426B3" w:rsidRDefault="009426B3" w:rsidP="009426B3">
            <w:pPr>
              <w:jc w:val="center"/>
              <w:rPr>
                <w:rFonts w:ascii="Verdana" w:eastAsia="Times New Roman" w:hAnsi="Verdana" w:cs="Tahoma"/>
                <w:sz w:val="18"/>
                <w:szCs w:val="18"/>
              </w:rPr>
            </w:pPr>
            <w:r>
              <w:rPr>
                <w:rFonts w:ascii="Verdana" w:eastAsia="Times New Roman" w:hAnsi="Verdana" w:cs="Tahoma"/>
                <w:sz w:val="18"/>
                <w:szCs w:val="18"/>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FA340" w14:textId="3A978334" w:rsidR="009426B3" w:rsidRPr="009426B3" w:rsidRDefault="009426B3" w:rsidP="009426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9426B3" w:rsidRPr="009426B3" w14:paraId="3E9927C4"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5CECAC"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0707C"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7EB0A" w14:textId="2C9A2581" w:rsidR="009426B3" w:rsidRPr="009426B3" w:rsidRDefault="009426B3" w:rsidP="009426B3">
            <w:pPr>
              <w:jc w:val="center"/>
              <w:rPr>
                <w:rFonts w:ascii="Verdana" w:eastAsia="Times New Roman" w:hAnsi="Verdana" w:cs="Tahoma"/>
                <w:sz w:val="18"/>
                <w:szCs w:val="18"/>
              </w:rPr>
            </w:pPr>
            <w:r>
              <w:rPr>
                <w:rFonts w:ascii="Verdana" w:eastAsia="Times New Roman" w:hAnsi="Verdana" w:cs="Tahoma"/>
                <w:sz w:val="18"/>
                <w:szCs w:val="18"/>
              </w:rPr>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2FA095A2" w14:textId="1C4E3F5E" w:rsidR="009426B3" w:rsidRPr="009426B3" w:rsidRDefault="009426B3" w:rsidP="009426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9426B3" w:rsidRPr="009426B3" w14:paraId="1A93543E"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9761B9"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E8CAFAE"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3C65E6" w14:textId="170AF855" w:rsidR="009426B3" w:rsidRPr="009426B3" w:rsidRDefault="009426B3" w:rsidP="009426B3">
            <w:pPr>
              <w:jc w:val="center"/>
              <w:rPr>
                <w:rFonts w:ascii="Verdana" w:eastAsia="Times New Roman" w:hAnsi="Verdana" w:cs="Tahoma"/>
                <w:sz w:val="18"/>
                <w:szCs w:val="18"/>
              </w:rPr>
            </w:pPr>
            <w:r>
              <w:rPr>
                <w:rFonts w:ascii="Verdana" w:eastAsia="Times New Roman" w:hAnsi="Verdana" w:cs="Tahoma"/>
                <w:sz w:val="18"/>
                <w:szCs w:val="18"/>
              </w:rPr>
              <w:t>19.25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E1188" w14:textId="6C80099B" w:rsidR="009426B3" w:rsidRPr="009426B3" w:rsidRDefault="009426B3" w:rsidP="009426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9426B3" w:rsidRPr="009426B3" w14:paraId="0F8BF350"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138D17"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87889"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73D4D6B0" w14:textId="2669E0E1" w:rsidR="009426B3" w:rsidRPr="009426B3" w:rsidRDefault="009426B3" w:rsidP="009426B3">
            <w:pPr>
              <w:jc w:val="center"/>
              <w:rPr>
                <w:rFonts w:ascii="Verdana" w:eastAsia="Times New Roman" w:hAnsi="Verdana" w:cs="Tahoma"/>
                <w:sz w:val="18"/>
                <w:szCs w:val="18"/>
              </w:rPr>
            </w:pPr>
            <w:r>
              <w:rPr>
                <w:rFonts w:ascii="Verdana" w:eastAsia="Times New Roman" w:hAnsi="Verdana" w:cs="Tahoma"/>
                <w:sz w:val="18"/>
                <w:szCs w:val="18"/>
              </w:rPr>
              <w:t>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D239C" w14:textId="2CD8B97E" w:rsidR="009426B3" w:rsidRPr="009426B3" w:rsidRDefault="009426B3" w:rsidP="009426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19.4</w:t>
            </w:r>
          </w:p>
        </w:tc>
      </w:tr>
      <w:tr w:rsidR="009426B3" w:rsidRPr="009426B3" w14:paraId="3AE7051D"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01FD29"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9D11A"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7D006" w14:textId="54FE1000" w:rsidR="009426B3" w:rsidRPr="009426B3" w:rsidRDefault="009426B3" w:rsidP="009426B3">
            <w:pPr>
              <w:jc w:val="center"/>
              <w:rPr>
                <w:rFonts w:ascii="Verdana" w:eastAsia="Times New Roman" w:hAnsi="Verdana" w:cs="Tahoma"/>
                <w:sz w:val="18"/>
                <w:szCs w:val="18"/>
              </w:rPr>
            </w:pPr>
            <w:r>
              <w:rPr>
                <w:rFonts w:ascii="Verdana" w:eastAsia="Times New Roman" w:hAnsi="Verdana" w:cs="Tahoma"/>
                <w:sz w:val="18"/>
                <w:szCs w:val="18"/>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46080" w14:textId="1CBDCD76" w:rsidR="009426B3" w:rsidRPr="009426B3" w:rsidRDefault="009426B3" w:rsidP="009426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19.20</w:t>
            </w:r>
          </w:p>
        </w:tc>
      </w:tr>
    </w:tbl>
    <w:p w14:paraId="4BBBF1B1" w14:textId="77777777" w:rsidR="009426B3" w:rsidRPr="009426B3" w:rsidRDefault="009426B3" w:rsidP="009426B3">
      <w:pPr>
        <w:shd w:val="clear" w:color="auto" w:fill="FFFFFF"/>
        <w:spacing w:line="270" w:lineRule="atLeast"/>
        <w:rPr>
          <w:rFonts w:ascii="Verdana" w:eastAsia="Times New Roman" w:hAnsi="Verdana" w:cs="Times New Roman"/>
          <w:color w:val="000000"/>
          <w:sz w:val="18"/>
          <w:szCs w:val="18"/>
        </w:rPr>
      </w:pPr>
    </w:p>
    <w:p w14:paraId="0433EA12" w14:textId="7115D7BF" w:rsidR="009426B3" w:rsidRPr="009426B3" w:rsidRDefault="009426B3" w:rsidP="009426B3">
      <w:pPr>
        <w:pStyle w:val="ListParagraph"/>
        <w:numPr>
          <w:ilvl w:val="0"/>
          <w:numId w:val="4"/>
        </w:numPr>
        <w:shd w:val="clear" w:color="auto" w:fill="FFFFFF"/>
        <w:spacing w:line="270" w:lineRule="atLeast"/>
        <w:rPr>
          <w:rFonts w:ascii="Verdana" w:eastAsia="Times New Roman" w:hAnsi="Verdana" w:cs="Times New Roman"/>
          <w:color w:val="000000"/>
          <w:sz w:val="18"/>
          <w:szCs w:val="18"/>
        </w:rPr>
      </w:pPr>
      <w:r w:rsidRPr="009426B3">
        <w:rPr>
          <w:rFonts w:ascii="Verdana" w:eastAsia="Times New Roman" w:hAnsi="Verdana" w:cs="Times New Roman"/>
          <w:color w:val="000000"/>
          <w:sz w:val="18"/>
          <w:szCs w:val="18"/>
        </w:rPr>
        <w:t>Compute the MSE for the four-week and five-week moving average forecasts. If required, round your intermediate calculations to four decimal places and round your final answers to three decimal places.</w:t>
      </w:r>
      <w:r w:rsidRPr="009426B3">
        <w:rPr>
          <w:rFonts w:ascii="Verdana" w:eastAsia="Times New Roman" w:hAnsi="Verdana" w:cs="Times New Roman"/>
          <w:color w:val="000000"/>
          <w:sz w:val="18"/>
          <w:szCs w:val="18"/>
        </w:rPr>
        <w:br/>
      </w:r>
      <w:r w:rsidRPr="009426B3">
        <w:rPr>
          <w:rFonts w:ascii="Verdana" w:eastAsia="Times New Roman" w:hAnsi="Verdana" w:cs="Times New Roman"/>
          <w:color w:val="000000"/>
          <w:sz w:val="18"/>
          <w:szCs w:val="18"/>
        </w:rPr>
        <w:br/>
        <w:t>MSE for four-week moving average = </w:t>
      </w:r>
      <w:r w:rsidRPr="009426B3">
        <w:rPr>
          <w:rFonts w:ascii="Verdana" w:eastAsia="Times New Roman" w:hAnsi="Verdana" w:cs="Times New Roman"/>
          <w:color w:val="000000"/>
          <w:sz w:val="18"/>
          <w:szCs w:val="18"/>
        </w:rPr>
        <w:br/>
      </w:r>
      <w:r w:rsidRPr="009426B3">
        <w:rPr>
          <w:rFonts w:ascii="Verdana" w:eastAsia="Times New Roman" w:hAnsi="Verdana" w:cs="Times New Roman"/>
          <w:color w:val="000000"/>
          <w:sz w:val="18"/>
          <w:szCs w:val="18"/>
        </w:rPr>
        <w:br/>
        <w:t>MSE for five-week moving average = </w:t>
      </w:r>
    </w:p>
    <w:p w14:paraId="161A967C" w14:textId="4244E26B" w:rsidR="009426B3" w:rsidRDefault="009426B3" w:rsidP="009426B3"/>
    <w:p w14:paraId="67AEF73D" w14:textId="3E4FCD3B" w:rsidR="009426B3" w:rsidRDefault="009426B3" w:rsidP="009426B3"/>
    <w:p w14:paraId="168123C2" w14:textId="73457C5A" w:rsidR="009426B3" w:rsidRDefault="009426B3" w:rsidP="009426B3"/>
    <w:p w14:paraId="28F0B879" w14:textId="77777777" w:rsidR="009426B3" w:rsidRPr="009426B3" w:rsidRDefault="009426B3" w:rsidP="009426B3">
      <w:pPr>
        <w:shd w:val="clear" w:color="auto" w:fill="FFFFFF"/>
        <w:rPr>
          <w:rFonts w:ascii="Verdana" w:eastAsia="Times New Roman" w:hAnsi="Verdana" w:cs="Times New Roman"/>
          <w:color w:val="333333"/>
          <w:sz w:val="18"/>
          <w:szCs w:val="18"/>
        </w:rPr>
      </w:pPr>
      <w:r w:rsidRPr="009426B3">
        <w:rPr>
          <w:rFonts w:ascii="Verdana" w:eastAsia="Times New Roman" w:hAnsi="Verdana" w:cs="Times New Roman"/>
          <w:b/>
          <w:bCs/>
          <w:color w:val="333333"/>
          <w:sz w:val="18"/>
          <w:szCs w:val="18"/>
        </w:rPr>
        <w:t>Problem 6-09</w:t>
      </w:r>
    </w:p>
    <w:p w14:paraId="35E1B766" w14:textId="77777777" w:rsidR="009426B3" w:rsidRPr="009426B3" w:rsidRDefault="009426B3" w:rsidP="009426B3">
      <w:pPr>
        <w:shd w:val="clear" w:color="auto" w:fill="FFFFFF"/>
        <w:rPr>
          <w:rFonts w:ascii="Verdana" w:eastAsia="Times New Roman" w:hAnsi="Verdana" w:cs="Times New Roman"/>
          <w:color w:val="333333"/>
          <w:sz w:val="18"/>
          <w:szCs w:val="18"/>
        </w:rPr>
      </w:pPr>
      <w:r w:rsidRPr="009426B3">
        <w:rPr>
          <w:rFonts w:ascii="Verdana" w:eastAsia="Times New Roman" w:hAnsi="Verdana" w:cs="Times New Roman"/>
          <w:color w:val="333333"/>
          <w:sz w:val="18"/>
          <w:szCs w:val="18"/>
        </w:rPr>
        <w:t>With the gasoline time series data from the given table, show the exponential smoothing forecasts using α = 0.1.</w:t>
      </w:r>
    </w:p>
    <w:p w14:paraId="2F459BCC" w14:textId="77777777" w:rsidR="009426B3" w:rsidRPr="009426B3" w:rsidRDefault="009426B3" w:rsidP="009426B3">
      <w:pPr>
        <w:shd w:val="clear" w:color="auto" w:fill="FFFFFF"/>
        <w:rPr>
          <w:rFonts w:ascii="Verdana" w:eastAsia="Times New Roman" w:hAnsi="Verdana" w:cs="Times New Roman"/>
          <w:color w:val="333333"/>
          <w:sz w:val="18"/>
          <w:szCs w:val="18"/>
        </w:rPr>
      </w:pPr>
    </w:p>
    <w:p w14:paraId="1C76AF7D" w14:textId="77777777" w:rsidR="009426B3" w:rsidRPr="009426B3" w:rsidRDefault="009426B3" w:rsidP="009426B3">
      <w:pPr>
        <w:numPr>
          <w:ilvl w:val="0"/>
          <w:numId w:val="5"/>
        </w:numPr>
        <w:shd w:val="clear" w:color="auto" w:fill="FFFFFF"/>
        <w:spacing w:after="240" w:line="270" w:lineRule="atLeast"/>
        <w:ind w:left="0"/>
        <w:rPr>
          <w:rFonts w:ascii="Verdana" w:eastAsia="Times New Roman" w:hAnsi="Verdana" w:cs="Times New Roman"/>
          <w:color w:val="000000"/>
          <w:sz w:val="18"/>
          <w:szCs w:val="18"/>
        </w:rPr>
      </w:pPr>
      <w:r w:rsidRPr="009426B3">
        <w:rPr>
          <w:rFonts w:ascii="Verdana" w:eastAsia="Times New Roman" w:hAnsi="Verdana" w:cs="Times New Roman"/>
          <w:color w:val="000000"/>
          <w:sz w:val="18"/>
          <w:szCs w:val="18"/>
        </w:rPr>
        <w:t>Applying the MSE measure of forecast accuracy, would you prefer a smoothing constant of α = 0.1 or α = 0.2 for the gasoline sales time series? Do not round your interim computations and round your final answers to three decimal places.</w:t>
      </w:r>
    </w:p>
    <w:tbl>
      <w:tblPr>
        <w:tblW w:w="4500" w:type="dxa"/>
        <w:tblCellSpacing w:w="0" w:type="dxa"/>
        <w:tblInd w:w="30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1350"/>
        <w:gridCol w:w="1575"/>
        <w:gridCol w:w="1575"/>
      </w:tblGrid>
      <w:tr w:rsidR="009426B3" w:rsidRPr="009426B3" w14:paraId="4C39FCA1" w14:textId="77777777" w:rsidTr="009426B3">
        <w:trPr>
          <w:tblCellSpacing w:w="0" w:type="dxa"/>
        </w:trPr>
        <w:tc>
          <w:tcPr>
            <w:tcW w:w="1500" w:type="pct"/>
            <w:tcBorders>
              <w:top w:val="outset" w:sz="6" w:space="0" w:color="auto"/>
              <w:left w:val="outset" w:sz="6" w:space="0" w:color="auto"/>
              <w:bottom w:val="outset" w:sz="6" w:space="0" w:color="auto"/>
              <w:right w:val="outset" w:sz="6" w:space="0" w:color="auto"/>
            </w:tcBorders>
            <w:vAlign w:val="center"/>
            <w:hideMark/>
          </w:tcPr>
          <w:p w14:paraId="103701BD" w14:textId="77777777" w:rsidR="009426B3" w:rsidRPr="009426B3" w:rsidRDefault="009426B3" w:rsidP="009426B3">
            <w:pPr>
              <w:numPr>
                <w:ilvl w:val="0"/>
                <w:numId w:val="5"/>
              </w:numPr>
              <w:shd w:val="clear" w:color="auto" w:fill="FFFFFF"/>
              <w:spacing w:after="240" w:line="270" w:lineRule="atLeast"/>
              <w:ind w:left="0"/>
              <w:rPr>
                <w:rFonts w:ascii="Verdana" w:eastAsia="Times New Roman" w:hAnsi="Verdana" w:cs="Times New Roman"/>
                <w:color w:val="000000"/>
                <w:sz w:val="18"/>
                <w:szCs w:val="18"/>
              </w:rPr>
            </w:pPr>
          </w:p>
        </w:tc>
        <w:tc>
          <w:tcPr>
            <w:tcW w:w="1750" w:type="pct"/>
            <w:tcBorders>
              <w:top w:val="outset" w:sz="6" w:space="0" w:color="auto"/>
              <w:left w:val="outset" w:sz="6" w:space="0" w:color="auto"/>
              <w:bottom w:val="outset" w:sz="6" w:space="0" w:color="auto"/>
              <w:right w:val="outset" w:sz="6" w:space="0" w:color="auto"/>
            </w:tcBorders>
            <w:vAlign w:val="center"/>
            <w:hideMark/>
          </w:tcPr>
          <w:p w14:paraId="294A7366"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b/>
                <w:bCs/>
                <w:sz w:val="18"/>
                <w:szCs w:val="18"/>
              </w:rPr>
              <w:t>α = 0.1</w:t>
            </w:r>
          </w:p>
        </w:tc>
        <w:tc>
          <w:tcPr>
            <w:tcW w:w="1750" w:type="pct"/>
            <w:tcBorders>
              <w:top w:val="outset" w:sz="6" w:space="0" w:color="auto"/>
              <w:left w:val="outset" w:sz="6" w:space="0" w:color="auto"/>
              <w:bottom w:val="outset" w:sz="6" w:space="0" w:color="auto"/>
              <w:right w:val="outset" w:sz="6" w:space="0" w:color="auto"/>
            </w:tcBorders>
            <w:vAlign w:val="center"/>
            <w:hideMark/>
          </w:tcPr>
          <w:p w14:paraId="2839CB53"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b/>
                <w:bCs/>
                <w:sz w:val="18"/>
                <w:szCs w:val="18"/>
              </w:rPr>
              <w:t>α = 0.2</w:t>
            </w:r>
          </w:p>
        </w:tc>
      </w:tr>
      <w:tr w:rsidR="009426B3" w:rsidRPr="009426B3" w14:paraId="5E69082E"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79D7F48" w14:textId="77777777" w:rsidR="009426B3" w:rsidRPr="009426B3" w:rsidRDefault="009426B3" w:rsidP="009426B3">
            <w:pPr>
              <w:rPr>
                <w:rFonts w:ascii="Verdana" w:eastAsia="Times New Roman" w:hAnsi="Verdana" w:cs="Tahoma"/>
                <w:sz w:val="18"/>
                <w:szCs w:val="18"/>
              </w:rPr>
            </w:pPr>
            <w:r w:rsidRPr="009426B3">
              <w:rPr>
                <w:rFonts w:ascii="Verdana" w:eastAsia="Times New Roman" w:hAnsi="Verdana" w:cs="Tahoma"/>
                <w:sz w:val="18"/>
                <w:szCs w:val="18"/>
              </w:rPr>
              <w:t>MSE</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8E259" w14:textId="77777777" w:rsidR="009426B3" w:rsidRPr="009426B3" w:rsidRDefault="009426B3" w:rsidP="009426B3">
            <w:pPr>
              <w:rPr>
                <w:rFonts w:ascii="Verdana" w:eastAsia="Times New Roman" w:hAnsi="Verdana" w:cs="Tahoma"/>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B80271A" w14:textId="77777777" w:rsidR="009426B3" w:rsidRPr="009426B3" w:rsidRDefault="009426B3" w:rsidP="009426B3">
            <w:pPr>
              <w:jc w:val="center"/>
              <w:rPr>
                <w:rFonts w:ascii="Times New Roman" w:eastAsia="Times New Roman" w:hAnsi="Times New Roman" w:cs="Times New Roman"/>
                <w:sz w:val="20"/>
                <w:szCs w:val="20"/>
              </w:rPr>
            </w:pPr>
          </w:p>
        </w:tc>
      </w:tr>
    </w:tbl>
    <w:p w14:paraId="7E6BB096" w14:textId="77777777" w:rsidR="009426B3" w:rsidRPr="009426B3" w:rsidRDefault="009426B3" w:rsidP="00102A56">
      <w:pPr>
        <w:shd w:val="clear" w:color="auto" w:fill="FFFFFF"/>
        <w:spacing w:after="240" w:line="270" w:lineRule="atLeast"/>
        <w:rPr>
          <w:rFonts w:ascii="Verdana" w:eastAsia="Times New Roman" w:hAnsi="Verdana" w:cs="Times New Roman"/>
          <w:color w:val="000000"/>
          <w:sz w:val="18"/>
          <w:szCs w:val="18"/>
        </w:rPr>
      </w:pPr>
      <w:r w:rsidRPr="009426B3">
        <w:rPr>
          <w:rFonts w:ascii="Verdana" w:eastAsia="Times New Roman" w:hAnsi="Verdana" w:cs="Times New Roman"/>
          <w:color w:val="000000"/>
          <w:sz w:val="18"/>
          <w:szCs w:val="18"/>
        </w:rPr>
        <w:br/>
        <w:t>Prefer: </w:t>
      </w:r>
      <w:r w:rsidRPr="009426B3">
        <w:rPr>
          <w:rFonts w:ascii="Verdana" w:eastAsia="Times New Roman" w:hAnsi="Verdana" w:cs="Times New Roman"/>
          <w:b/>
          <w:bCs/>
          <w:color w:val="5393C5"/>
          <w:sz w:val="18"/>
          <w:szCs w:val="18"/>
        </w:rPr>
        <w:t>0.2 </w:t>
      </w:r>
    </w:p>
    <w:p w14:paraId="04626F92" w14:textId="4A0D01D1" w:rsidR="009426B3" w:rsidRPr="00102A56" w:rsidRDefault="009426B3" w:rsidP="00102A56">
      <w:pPr>
        <w:pStyle w:val="ListParagraph"/>
        <w:numPr>
          <w:ilvl w:val="0"/>
          <w:numId w:val="3"/>
        </w:numPr>
        <w:shd w:val="clear" w:color="auto" w:fill="FFFFFF"/>
        <w:spacing w:after="240" w:line="270" w:lineRule="atLeast"/>
        <w:rPr>
          <w:rFonts w:ascii="Verdana" w:eastAsia="Times New Roman" w:hAnsi="Verdana" w:cs="Times New Roman"/>
          <w:color w:val="000000"/>
          <w:sz w:val="18"/>
          <w:szCs w:val="18"/>
        </w:rPr>
      </w:pPr>
      <w:r w:rsidRPr="00102A56">
        <w:rPr>
          <w:rFonts w:ascii="Verdana" w:eastAsia="Times New Roman" w:hAnsi="Verdana" w:cs="Times New Roman"/>
          <w:color w:val="000000"/>
          <w:sz w:val="18"/>
          <w:szCs w:val="18"/>
        </w:rPr>
        <w:t>Are the results the same if you apply MAE as the measure of accuracy? Do not round your interim computations and round your final answers to three decimal places.</w:t>
      </w:r>
    </w:p>
    <w:tbl>
      <w:tblPr>
        <w:tblW w:w="4500" w:type="dxa"/>
        <w:tblCellSpacing w:w="0" w:type="dxa"/>
        <w:tblInd w:w="30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1350"/>
        <w:gridCol w:w="1575"/>
        <w:gridCol w:w="1575"/>
      </w:tblGrid>
      <w:tr w:rsidR="009426B3" w:rsidRPr="009426B3" w14:paraId="5BB1B700" w14:textId="77777777" w:rsidTr="009426B3">
        <w:trPr>
          <w:tblCellSpacing w:w="0" w:type="dxa"/>
        </w:trPr>
        <w:tc>
          <w:tcPr>
            <w:tcW w:w="1500" w:type="pct"/>
            <w:tcBorders>
              <w:top w:val="outset" w:sz="6" w:space="0" w:color="auto"/>
              <w:left w:val="outset" w:sz="6" w:space="0" w:color="auto"/>
              <w:bottom w:val="outset" w:sz="6" w:space="0" w:color="auto"/>
              <w:right w:val="outset" w:sz="6" w:space="0" w:color="auto"/>
            </w:tcBorders>
            <w:vAlign w:val="center"/>
            <w:hideMark/>
          </w:tcPr>
          <w:p w14:paraId="4F5ED7EE" w14:textId="77777777" w:rsidR="009426B3" w:rsidRPr="009426B3" w:rsidRDefault="009426B3" w:rsidP="00102A56">
            <w:pPr>
              <w:numPr>
                <w:ilvl w:val="0"/>
                <w:numId w:val="3"/>
              </w:numPr>
              <w:shd w:val="clear" w:color="auto" w:fill="FFFFFF"/>
              <w:spacing w:after="240" w:line="270" w:lineRule="atLeast"/>
              <w:ind w:left="0"/>
              <w:rPr>
                <w:rFonts w:ascii="Verdana" w:eastAsia="Times New Roman" w:hAnsi="Verdana" w:cs="Times New Roman"/>
                <w:color w:val="000000"/>
                <w:sz w:val="18"/>
                <w:szCs w:val="18"/>
              </w:rPr>
            </w:pPr>
          </w:p>
        </w:tc>
        <w:tc>
          <w:tcPr>
            <w:tcW w:w="1750" w:type="pct"/>
            <w:tcBorders>
              <w:top w:val="outset" w:sz="6" w:space="0" w:color="auto"/>
              <w:left w:val="outset" w:sz="6" w:space="0" w:color="auto"/>
              <w:bottom w:val="outset" w:sz="6" w:space="0" w:color="auto"/>
              <w:right w:val="outset" w:sz="6" w:space="0" w:color="auto"/>
            </w:tcBorders>
            <w:vAlign w:val="center"/>
            <w:hideMark/>
          </w:tcPr>
          <w:p w14:paraId="048E9F87"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b/>
                <w:bCs/>
                <w:sz w:val="18"/>
                <w:szCs w:val="18"/>
              </w:rPr>
              <w:t>α = 0.1</w:t>
            </w:r>
          </w:p>
        </w:tc>
        <w:tc>
          <w:tcPr>
            <w:tcW w:w="1750" w:type="pct"/>
            <w:tcBorders>
              <w:top w:val="outset" w:sz="6" w:space="0" w:color="auto"/>
              <w:left w:val="outset" w:sz="6" w:space="0" w:color="auto"/>
              <w:bottom w:val="outset" w:sz="6" w:space="0" w:color="auto"/>
              <w:right w:val="outset" w:sz="6" w:space="0" w:color="auto"/>
            </w:tcBorders>
            <w:vAlign w:val="center"/>
            <w:hideMark/>
          </w:tcPr>
          <w:p w14:paraId="6E8ABE41"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b/>
                <w:bCs/>
                <w:sz w:val="18"/>
                <w:szCs w:val="18"/>
              </w:rPr>
              <w:t>α = 0.2</w:t>
            </w:r>
          </w:p>
        </w:tc>
      </w:tr>
      <w:tr w:rsidR="009426B3" w:rsidRPr="009426B3" w14:paraId="0F6E673B"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C670B6" w14:textId="77777777" w:rsidR="009426B3" w:rsidRPr="009426B3" w:rsidRDefault="009426B3" w:rsidP="009426B3">
            <w:pPr>
              <w:rPr>
                <w:rFonts w:ascii="Verdana" w:eastAsia="Times New Roman" w:hAnsi="Verdana" w:cs="Tahoma"/>
                <w:sz w:val="18"/>
                <w:szCs w:val="18"/>
              </w:rPr>
            </w:pPr>
            <w:r w:rsidRPr="009426B3">
              <w:rPr>
                <w:rFonts w:ascii="Verdana" w:eastAsia="Times New Roman" w:hAnsi="Verdana" w:cs="Tahoma"/>
                <w:sz w:val="18"/>
                <w:szCs w:val="18"/>
              </w:rPr>
              <w:t>MAE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EDDAC" w14:textId="77777777" w:rsidR="009426B3" w:rsidRPr="009426B3" w:rsidRDefault="009426B3" w:rsidP="009426B3">
            <w:pPr>
              <w:rPr>
                <w:rFonts w:ascii="Verdana" w:eastAsia="Times New Roman" w:hAnsi="Verdana" w:cs="Tahoma"/>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EAC401" w14:textId="77777777" w:rsidR="009426B3" w:rsidRPr="009426B3" w:rsidRDefault="009426B3" w:rsidP="009426B3">
            <w:pPr>
              <w:jc w:val="center"/>
              <w:rPr>
                <w:rFonts w:ascii="Times New Roman" w:eastAsia="Times New Roman" w:hAnsi="Times New Roman" w:cs="Times New Roman"/>
                <w:sz w:val="20"/>
                <w:szCs w:val="20"/>
              </w:rPr>
            </w:pPr>
          </w:p>
        </w:tc>
      </w:tr>
    </w:tbl>
    <w:p w14:paraId="197B087F" w14:textId="77777777" w:rsidR="009426B3" w:rsidRPr="009426B3" w:rsidRDefault="009426B3" w:rsidP="00102A56">
      <w:pPr>
        <w:shd w:val="clear" w:color="auto" w:fill="FFFFFF"/>
        <w:spacing w:after="240" w:line="270" w:lineRule="atLeast"/>
        <w:rPr>
          <w:rFonts w:ascii="Verdana" w:eastAsia="Times New Roman" w:hAnsi="Verdana" w:cs="Times New Roman"/>
          <w:color w:val="000000"/>
          <w:sz w:val="18"/>
          <w:szCs w:val="18"/>
        </w:rPr>
      </w:pPr>
      <w:r w:rsidRPr="009426B3">
        <w:rPr>
          <w:rFonts w:ascii="Verdana" w:eastAsia="Times New Roman" w:hAnsi="Verdana" w:cs="Times New Roman"/>
          <w:color w:val="000000"/>
          <w:sz w:val="18"/>
          <w:szCs w:val="18"/>
        </w:rPr>
        <w:br/>
        <w:t>Prefer: </w:t>
      </w:r>
      <w:r w:rsidRPr="009426B3">
        <w:rPr>
          <w:rFonts w:ascii="Verdana" w:eastAsia="Times New Roman" w:hAnsi="Verdana" w:cs="Times New Roman"/>
          <w:b/>
          <w:bCs/>
          <w:color w:val="5393C5"/>
          <w:sz w:val="18"/>
          <w:szCs w:val="18"/>
        </w:rPr>
        <w:t>0.1 </w:t>
      </w:r>
    </w:p>
    <w:p w14:paraId="20019D3F" w14:textId="546829A5" w:rsidR="009426B3" w:rsidRPr="00102A56" w:rsidRDefault="009426B3" w:rsidP="00102A56">
      <w:pPr>
        <w:pStyle w:val="ListParagraph"/>
        <w:numPr>
          <w:ilvl w:val="0"/>
          <w:numId w:val="5"/>
        </w:numPr>
        <w:shd w:val="clear" w:color="auto" w:fill="FFFFFF"/>
        <w:spacing w:after="240" w:line="270" w:lineRule="atLeast"/>
        <w:rPr>
          <w:rFonts w:ascii="Verdana" w:eastAsia="Times New Roman" w:hAnsi="Verdana" w:cs="Times New Roman"/>
          <w:color w:val="000000"/>
          <w:sz w:val="18"/>
          <w:szCs w:val="18"/>
        </w:rPr>
      </w:pPr>
      <w:r w:rsidRPr="00102A56">
        <w:rPr>
          <w:rFonts w:ascii="Verdana" w:eastAsia="Times New Roman" w:hAnsi="Verdana" w:cs="Times New Roman"/>
          <w:color w:val="000000"/>
          <w:sz w:val="18"/>
          <w:szCs w:val="18"/>
        </w:rPr>
        <w:t>What are the results if MAPE is used? Do not round your interim computations and round your final answers to two decimal places.</w:t>
      </w:r>
    </w:p>
    <w:tbl>
      <w:tblPr>
        <w:tblW w:w="4800" w:type="dxa"/>
        <w:tblCellSpacing w:w="0" w:type="dxa"/>
        <w:tblInd w:w="30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960"/>
        <w:gridCol w:w="1920"/>
        <w:gridCol w:w="1920"/>
      </w:tblGrid>
      <w:tr w:rsidR="009426B3" w:rsidRPr="009426B3" w14:paraId="31378A83" w14:textId="77777777" w:rsidTr="009426B3">
        <w:trPr>
          <w:tblCellSpacing w:w="0" w:type="dxa"/>
        </w:trPr>
        <w:tc>
          <w:tcPr>
            <w:tcW w:w="1000" w:type="pct"/>
            <w:tcBorders>
              <w:top w:val="outset" w:sz="6" w:space="0" w:color="auto"/>
              <w:left w:val="outset" w:sz="6" w:space="0" w:color="auto"/>
              <w:bottom w:val="outset" w:sz="6" w:space="0" w:color="auto"/>
              <w:right w:val="outset" w:sz="6" w:space="0" w:color="auto"/>
            </w:tcBorders>
            <w:vAlign w:val="center"/>
            <w:hideMark/>
          </w:tcPr>
          <w:p w14:paraId="78FA3AB2" w14:textId="77777777" w:rsidR="009426B3" w:rsidRPr="009426B3" w:rsidRDefault="009426B3" w:rsidP="00102A56">
            <w:pPr>
              <w:numPr>
                <w:ilvl w:val="0"/>
                <w:numId w:val="5"/>
              </w:numPr>
              <w:shd w:val="clear" w:color="auto" w:fill="FFFFFF"/>
              <w:spacing w:after="240" w:line="270" w:lineRule="atLeast"/>
              <w:ind w:left="0"/>
              <w:rPr>
                <w:rFonts w:ascii="Verdana" w:eastAsia="Times New Roman" w:hAnsi="Verdana" w:cs="Times New Roman"/>
                <w:color w:val="000000"/>
                <w:sz w:val="18"/>
                <w:szCs w:val="18"/>
              </w:rPr>
            </w:pPr>
          </w:p>
        </w:tc>
        <w:tc>
          <w:tcPr>
            <w:tcW w:w="2000" w:type="pct"/>
            <w:tcBorders>
              <w:top w:val="outset" w:sz="6" w:space="0" w:color="auto"/>
              <w:left w:val="outset" w:sz="6" w:space="0" w:color="auto"/>
              <w:bottom w:val="outset" w:sz="6" w:space="0" w:color="auto"/>
              <w:right w:val="outset" w:sz="6" w:space="0" w:color="auto"/>
            </w:tcBorders>
            <w:vAlign w:val="center"/>
            <w:hideMark/>
          </w:tcPr>
          <w:p w14:paraId="32AAC370"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b/>
                <w:bCs/>
                <w:sz w:val="18"/>
                <w:szCs w:val="18"/>
              </w:rPr>
              <w:t>α = 0.1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5C18746E"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b/>
                <w:bCs/>
                <w:sz w:val="18"/>
                <w:szCs w:val="18"/>
              </w:rPr>
              <w:t>α = 0.2</w:t>
            </w:r>
          </w:p>
        </w:tc>
      </w:tr>
      <w:tr w:rsidR="009426B3" w:rsidRPr="009426B3" w14:paraId="3EDBD559" w14:textId="77777777" w:rsidTr="009426B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C9824E" w14:textId="77777777" w:rsidR="009426B3" w:rsidRPr="009426B3" w:rsidRDefault="009426B3" w:rsidP="009426B3">
            <w:pPr>
              <w:rPr>
                <w:rFonts w:ascii="Verdana" w:eastAsia="Times New Roman" w:hAnsi="Verdana" w:cs="Tahoma"/>
                <w:sz w:val="18"/>
                <w:szCs w:val="18"/>
              </w:rPr>
            </w:pPr>
            <w:r w:rsidRPr="009426B3">
              <w:rPr>
                <w:rFonts w:ascii="Verdana" w:eastAsia="Times New Roman" w:hAnsi="Verdana" w:cs="Tahoma"/>
                <w:sz w:val="18"/>
                <w:szCs w:val="18"/>
              </w:rPr>
              <w:t>MAPE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8C572"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BA1D3" w14:textId="77777777" w:rsidR="009426B3" w:rsidRPr="009426B3" w:rsidRDefault="009426B3" w:rsidP="009426B3">
            <w:pPr>
              <w:jc w:val="center"/>
              <w:rPr>
                <w:rFonts w:ascii="Verdana" w:eastAsia="Times New Roman" w:hAnsi="Verdana" w:cs="Tahoma"/>
                <w:sz w:val="18"/>
                <w:szCs w:val="18"/>
              </w:rPr>
            </w:pPr>
            <w:r w:rsidRPr="009426B3">
              <w:rPr>
                <w:rFonts w:ascii="Verdana" w:eastAsia="Times New Roman" w:hAnsi="Verdana" w:cs="Tahoma"/>
                <w:sz w:val="18"/>
                <w:szCs w:val="18"/>
              </w:rPr>
              <w:t> %</w:t>
            </w:r>
          </w:p>
        </w:tc>
      </w:tr>
    </w:tbl>
    <w:p w14:paraId="12948BEE" w14:textId="77777777" w:rsidR="009426B3" w:rsidRPr="009426B3" w:rsidRDefault="009426B3" w:rsidP="00102A56">
      <w:pPr>
        <w:shd w:val="clear" w:color="auto" w:fill="FFFFFF"/>
        <w:spacing w:line="270" w:lineRule="atLeast"/>
        <w:rPr>
          <w:rFonts w:ascii="Verdana" w:eastAsia="Times New Roman" w:hAnsi="Verdana" w:cs="Times New Roman"/>
          <w:color w:val="000000"/>
          <w:sz w:val="18"/>
          <w:szCs w:val="18"/>
        </w:rPr>
      </w:pPr>
      <w:bookmarkStart w:id="0" w:name="_GoBack"/>
      <w:bookmarkEnd w:id="0"/>
      <w:r w:rsidRPr="009426B3">
        <w:rPr>
          <w:rFonts w:ascii="Verdana" w:eastAsia="Times New Roman" w:hAnsi="Verdana" w:cs="Times New Roman"/>
          <w:color w:val="000000"/>
          <w:sz w:val="18"/>
          <w:szCs w:val="18"/>
        </w:rPr>
        <w:br/>
        <w:t>Prefer: </w:t>
      </w:r>
      <w:r w:rsidRPr="009426B3">
        <w:rPr>
          <w:rFonts w:ascii="Verdana" w:eastAsia="Times New Roman" w:hAnsi="Verdana" w:cs="Times New Roman"/>
          <w:b/>
          <w:bCs/>
          <w:color w:val="5393C5"/>
          <w:sz w:val="18"/>
          <w:szCs w:val="18"/>
        </w:rPr>
        <w:t>0.1 </w:t>
      </w:r>
    </w:p>
    <w:p w14:paraId="67C8F6B6" w14:textId="77777777" w:rsidR="009426B3" w:rsidRPr="009426B3" w:rsidRDefault="009426B3" w:rsidP="009426B3">
      <w:pPr>
        <w:rPr>
          <w:rFonts w:ascii="Times New Roman" w:eastAsia="Times New Roman" w:hAnsi="Times New Roman" w:cs="Times New Roman"/>
        </w:rPr>
      </w:pPr>
    </w:p>
    <w:p w14:paraId="4BC06F59" w14:textId="5D506BA0" w:rsidR="009426B3" w:rsidRDefault="009426B3" w:rsidP="009426B3"/>
    <w:p w14:paraId="713DAFD0" w14:textId="668EC4D5" w:rsidR="00102A56" w:rsidRDefault="00102A56" w:rsidP="009426B3"/>
    <w:p w14:paraId="0E220C67" w14:textId="4B4289E8" w:rsidR="00102A56" w:rsidRDefault="00102A56" w:rsidP="009426B3"/>
    <w:p w14:paraId="52B175DA" w14:textId="7D030D99" w:rsidR="00102A56" w:rsidRDefault="00102A56" w:rsidP="009426B3"/>
    <w:p w14:paraId="792DABE0" w14:textId="6827B5F8" w:rsidR="00102A56" w:rsidRDefault="00102A56" w:rsidP="009426B3"/>
    <w:p w14:paraId="567CE633" w14:textId="77777777" w:rsidR="00102A56" w:rsidRPr="009426B3" w:rsidRDefault="00102A56" w:rsidP="009426B3"/>
    <w:sectPr w:rsidR="00102A56" w:rsidRPr="009426B3" w:rsidSect="00E56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0E789E"/>
    <w:multiLevelType w:val="multilevel"/>
    <w:tmpl w:val="366663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D087AFB"/>
    <w:multiLevelType w:val="multilevel"/>
    <w:tmpl w:val="A0D2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A567C8"/>
    <w:multiLevelType w:val="multilevel"/>
    <w:tmpl w:val="8768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5A41B1"/>
    <w:multiLevelType w:val="multilevel"/>
    <w:tmpl w:val="E5020D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E0175D9"/>
    <w:multiLevelType w:val="hybridMultilevel"/>
    <w:tmpl w:val="9866FD0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6B3"/>
    <w:rsid w:val="00102A56"/>
    <w:rsid w:val="009426B3"/>
    <w:rsid w:val="00E56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ECE2DC"/>
  <w15:chartTrackingRefBased/>
  <w15:docId w15:val="{0B31E881-4F49-A04E-A712-8E37B7BC6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26B3"/>
    <w:pPr>
      <w:spacing w:before="100" w:beforeAutospacing="1" w:after="100" w:afterAutospacing="1"/>
    </w:pPr>
    <w:rPr>
      <w:rFonts w:ascii="Times New Roman" w:eastAsia="Times New Roman" w:hAnsi="Times New Roman" w:cs="Times New Roman"/>
    </w:rPr>
  </w:style>
  <w:style w:type="character" w:customStyle="1" w:styleId="ci-select-content">
    <w:name w:val="ci-select-content"/>
    <w:basedOn w:val="DefaultParagraphFont"/>
    <w:rsid w:val="009426B3"/>
  </w:style>
  <w:style w:type="character" w:customStyle="1" w:styleId="ci-select-control">
    <w:name w:val="ci-select-control"/>
    <w:basedOn w:val="DefaultParagraphFont"/>
    <w:rsid w:val="009426B3"/>
  </w:style>
  <w:style w:type="paragraph" w:styleId="ListParagraph">
    <w:name w:val="List Paragraph"/>
    <w:basedOn w:val="Normal"/>
    <w:uiPriority w:val="34"/>
    <w:qFormat/>
    <w:rsid w:val="009426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071061">
      <w:bodyDiv w:val="1"/>
      <w:marLeft w:val="0"/>
      <w:marRight w:val="0"/>
      <w:marTop w:val="0"/>
      <w:marBottom w:val="0"/>
      <w:divBdr>
        <w:top w:val="none" w:sz="0" w:space="0" w:color="auto"/>
        <w:left w:val="none" w:sz="0" w:space="0" w:color="auto"/>
        <w:bottom w:val="none" w:sz="0" w:space="0" w:color="auto"/>
        <w:right w:val="none" w:sz="0" w:space="0" w:color="auto"/>
      </w:divBdr>
    </w:div>
    <w:div w:id="698119101">
      <w:bodyDiv w:val="1"/>
      <w:marLeft w:val="0"/>
      <w:marRight w:val="0"/>
      <w:marTop w:val="0"/>
      <w:marBottom w:val="0"/>
      <w:divBdr>
        <w:top w:val="none" w:sz="0" w:space="0" w:color="auto"/>
        <w:left w:val="none" w:sz="0" w:space="0" w:color="auto"/>
        <w:bottom w:val="none" w:sz="0" w:space="0" w:color="auto"/>
        <w:right w:val="none" w:sz="0" w:space="0" w:color="auto"/>
      </w:divBdr>
    </w:div>
    <w:div w:id="1058280993">
      <w:bodyDiv w:val="1"/>
      <w:marLeft w:val="0"/>
      <w:marRight w:val="0"/>
      <w:marTop w:val="0"/>
      <w:marBottom w:val="0"/>
      <w:divBdr>
        <w:top w:val="none" w:sz="0" w:space="0" w:color="auto"/>
        <w:left w:val="none" w:sz="0" w:space="0" w:color="auto"/>
        <w:bottom w:val="none" w:sz="0" w:space="0" w:color="auto"/>
        <w:right w:val="none" w:sz="0" w:space="0" w:color="auto"/>
      </w:divBdr>
    </w:div>
    <w:div w:id="1078865758">
      <w:bodyDiv w:val="1"/>
      <w:marLeft w:val="0"/>
      <w:marRight w:val="0"/>
      <w:marTop w:val="0"/>
      <w:marBottom w:val="0"/>
      <w:divBdr>
        <w:top w:val="none" w:sz="0" w:space="0" w:color="auto"/>
        <w:left w:val="none" w:sz="0" w:space="0" w:color="auto"/>
        <w:bottom w:val="none" w:sz="0" w:space="0" w:color="auto"/>
        <w:right w:val="none" w:sz="0" w:space="0" w:color="auto"/>
      </w:divBdr>
    </w:div>
    <w:div w:id="1116489214">
      <w:bodyDiv w:val="1"/>
      <w:marLeft w:val="0"/>
      <w:marRight w:val="0"/>
      <w:marTop w:val="0"/>
      <w:marBottom w:val="0"/>
      <w:divBdr>
        <w:top w:val="none" w:sz="0" w:space="0" w:color="auto"/>
        <w:left w:val="none" w:sz="0" w:space="0" w:color="auto"/>
        <w:bottom w:val="none" w:sz="0" w:space="0" w:color="auto"/>
        <w:right w:val="none" w:sz="0" w:space="0" w:color="auto"/>
      </w:divBdr>
    </w:div>
    <w:div w:id="1119032807">
      <w:bodyDiv w:val="1"/>
      <w:marLeft w:val="0"/>
      <w:marRight w:val="0"/>
      <w:marTop w:val="0"/>
      <w:marBottom w:val="0"/>
      <w:divBdr>
        <w:top w:val="none" w:sz="0" w:space="0" w:color="auto"/>
        <w:left w:val="none" w:sz="0" w:space="0" w:color="auto"/>
        <w:bottom w:val="none" w:sz="0" w:space="0" w:color="auto"/>
        <w:right w:val="none" w:sz="0" w:space="0" w:color="auto"/>
      </w:divBdr>
    </w:div>
    <w:div w:id="1498502183">
      <w:bodyDiv w:val="1"/>
      <w:marLeft w:val="0"/>
      <w:marRight w:val="0"/>
      <w:marTop w:val="0"/>
      <w:marBottom w:val="0"/>
      <w:divBdr>
        <w:top w:val="none" w:sz="0" w:space="0" w:color="auto"/>
        <w:left w:val="none" w:sz="0" w:space="0" w:color="auto"/>
        <w:bottom w:val="none" w:sz="0" w:space="0" w:color="auto"/>
        <w:right w:val="none" w:sz="0" w:space="0" w:color="auto"/>
      </w:divBdr>
    </w:div>
    <w:div w:id="1546483119">
      <w:bodyDiv w:val="1"/>
      <w:marLeft w:val="0"/>
      <w:marRight w:val="0"/>
      <w:marTop w:val="0"/>
      <w:marBottom w:val="0"/>
      <w:divBdr>
        <w:top w:val="none" w:sz="0" w:space="0" w:color="auto"/>
        <w:left w:val="none" w:sz="0" w:space="0" w:color="auto"/>
        <w:bottom w:val="none" w:sz="0" w:space="0" w:color="auto"/>
        <w:right w:val="none" w:sz="0" w:space="0" w:color="auto"/>
      </w:divBdr>
    </w:div>
    <w:div w:id="1778940273">
      <w:bodyDiv w:val="1"/>
      <w:marLeft w:val="0"/>
      <w:marRight w:val="0"/>
      <w:marTop w:val="0"/>
      <w:marBottom w:val="0"/>
      <w:divBdr>
        <w:top w:val="none" w:sz="0" w:space="0" w:color="auto"/>
        <w:left w:val="none" w:sz="0" w:space="0" w:color="auto"/>
        <w:bottom w:val="none" w:sz="0" w:space="0" w:color="auto"/>
        <w:right w:val="none" w:sz="0" w:space="0" w:color="auto"/>
      </w:divBdr>
    </w:div>
    <w:div w:id="1946963133">
      <w:bodyDiv w:val="1"/>
      <w:marLeft w:val="0"/>
      <w:marRight w:val="0"/>
      <w:marTop w:val="0"/>
      <w:marBottom w:val="0"/>
      <w:divBdr>
        <w:top w:val="none" w:sz="0" w:space="0" w:color="auto"/>
        <w:left w:val="none" w:sz="0" w:space="0" w:color="auto"/>
        <w:bottom w:val="none" w:sz="0" w:space="0" w:color="auto"/>
        <w:right w:val="none" w:sz="0" w:space="0" w:color="auto"/>
      </w:divBdr>
    </w:div>
    <w:div w:id="2130659373">
      <w:bodyDiv w:val="1"/>
      <w:marLeft w:val="0"/>
      <w:marRight w:val="0"/>
      <w:marTop w:val="0"/>
      <w:marBottom w:val="0"/>
      <w:divBdr>
        <w:top w:val="none" w:sz="0" w:space="0" w:color="auto"/>
        <w:left w:val="none" w:sz="0" w:space="0" w:color="auto"/>
        <w:bottom w:val="none" w:sz="0" w:space="0" w:color="auto"/>
        <w:right w:val="none" w:sz="0" w:space="0" w:color="auto"/>
      </w:divBdr>
      <w:divsChild>
        <w:div w:id="829519720">
          <w:marLeft w:val="0"/>
          <w:marRight w:val="0"/>
          <w:marTop w:val="0"/>
          <w:marBottom w:val="75"/>
          <w:divBdr>
            <w:top w:val="none" w:sz="0" w:space="0" w:color="auto"/>
            <w:left w:val="none" w:sz="0" w:space="0" w:color="auto"/>
            <w:bottom w:val="none" w:sz="0" w:space="0" w:color="auto"/>
            <w:right w:val="none" w:sz="0" w:space="0" w:color="auto"/>
          </w:divBdr>
          <w:divsChild>
            <w:div w:id="344524264">
              <w:marLeft w:val="0"/>
              <w:marRight w:val="0"/>
              <w:marTop w:val="0"/>
              <w:marBottom w:val="0"/>
              <w:divBdr>
                <w:top w:val="none" w:sz="0" w:space="0" w:color="auto"/>
                <w:left w:val="none" w:sz="0" w:space="0" w:color="auto"/>
                <w:bottom w:val="none" w:sz="0" w:space="0" w:color="auto"/>
                <w:right w:val="none" w:sz="0" w:space="0" w:color="auto"/>
              </w:divBdr>
            </w:div>
          </w:divsChild>
        </w:div>
        <w:div w:id="1486631075">
          <w:marLeft w:val="300"/>
          <w:marRight w:val="0"/>
          <w:marTop w:val="150"/>
          <w:marBottom w:val="150"/>
          <w:divBdr>
            <w:top w:val="none" w:sz="0" w:space="0" w:color="auto"/>
            <w:left w:val="none" w:sz="0" w:space="0" w:color="auto"/>
            <w:bottom w:val="none" w:sz="0" w:space="0" w:color="auto"/>
            <w:right w:val="none" w:sz="0" w:space="0" w:color="auto"/>
          </w:divBdr>
          <w:divsChild>
            <w:div w:id="203542229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ALCENA, MICHAEL</dc:creator>
  <cp:keywords/>
  <dc:description/>
  <cp:lastModifiedBy>ALCENA, MICHAEL</cp:lastModifiedBy>
  <cp:revision>1</cp:revision>
  <dcterms:created xsi:type="dcterms:W3CDTF">2019-12-01T15:13:00Z</dcterms:created>
  <dcterms:modified xsi:type="dcterms:W3CDTF">2019-12-01T15:26:00Z</dcterms:modified>
</cp:coreProperties>
</file>